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b/>
          <w:bCs/>
          <w:sz w:val="16"/>
          <w:szCs w:val="16"/>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4F6994" w:rsidP="004C7868">
            <w:pPr>
              <w:pStyle w:val="FileNumber0"/>
              <w:rPr>
                <w:sz w:val="28"/>
                <w:u w:val="single"/>
                <w:rtl/>
              </w:rPr>
            </w:pPr>
            <w:r>
              <w:rPr>
                <w:u w:val="single"/>
                <w:rtl/>
              </w:rPr>
              <w:t>בבית המשפט העליון</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4F6994">
            <w:pPr>
              <w:pStyle w:val="FileNumber"/>
              <w:rPr>
                <w:sz w:val="28"/>
                <w:szCs w:val="28"/>
              </w:rPr>
            </w:pPr>
            <w:bookmarkStart w:id="0" w:name="casename_body"/>
            <w:r>
              <w:rPr>
                <w:sz w:val="28"/>
                <w:szCs w:val="28"/>
                <w:rtl/>
              </w:rPr>
              <w:t>רע"פ  814/19</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4F6994">
            <w:pPr>
              <w:pStyle w:val="BodyRuller"/>
            </w:pPr>
            <w:r>
              <w:rPr>
                <w:rtl/>
              </w:rPr>
              <w:t>כבוד השופט י' אלרון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4F6994" w:rsidP="00DD6306">
            <w:pPr>
              <w:pStyle w:val="BodyRuller"/>
              <w:rPr>
                <w:rFonts w:ascii="David" w:hAnsi="David"/>
              </w:rPr>
            </w:pPr>
            <w:r>
              <w:rPr>
                <w:rFonts w:ascii="David" w:hAnsi="David"/>
                <w:rtl/>
              </w:rPr>
              <w:t>המבקש:</w:t>
            </w:r>
          </w:p>
        </w:tc>
        <w:tc>
          <w:tcPr>
            <w:tcW w:w="5239" w:type="dxa"/>
          </w:tcPr>
          <w:p w:rsidR="00D00CB7" w:rsidRDefault="004F6994" w:rsidP="00DD6306">
            <w:pPr>
              <w:pStyle w:val="BodyRuller"/>
            </w:pPr>
            <w:r>
              <w:rPr>
                <w:rtl/>
              </w:rPr>
              <w:t>קיבוץ עין גב</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4F6994" w:rsidP="00DD6306">
            <w:pPr>
              <w:pStyle w:val="BodyRuller"/>
              <w:rPr>
                <w:rFonts w:ascii="David" w:hAnsi="David"/>
              </w:rPr>
            </w:pPr>
            <w:r>
              <w:rPr>
                <w:rFonts w:ascii="David" w:hAnsi="David"/>
                <w:rtl/>
              </w:rPr>
              <w:t>המשיב:</w:t>
            </w:r>
          </w:p>
        </w:tc>
        <w:tc>
          <w:tcPr>
            <w:tcW w:w="5239" w:type="dxa"/>
          </w:tcPr>
          <w:p w:rsidR="0083345F" w:rsidRDefault="004F6994" w:rsidP="00DD6306">
            <w:pPr>
              <w:pStyle w:val="BodyRuller"/>
            </w:pPr>
            <w:r>
              <w:rPr>
                <w:rtl/>
              </w:rPr>
              <w:t>המשרד להגנת הסביבה - מדינת ישראל</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7B35B6" w:rsidRDefault="007B35B6" w:rsidP="007B35B6">
            <w:pPr>
              <w:pStyle w:val="BodyRuller"/>
              <w:jc w:val="both"/>
              <w:rPr>
                <w:rFonts w:ascii="Century" w:hAnsi="Century" w:cs="Miriam"/>
                <w:b/>
                <w:szCs w:val="24"/>
              </w:rPr>
            </w:pPr>
            <w:r w:rsidRPr="007B35B6">
              <w:rPr>
                <w:rFonts w:ascii="Century" w:hAnsi="Century" w:cs="Miriam" w:hint="cs"/>
                <w:b/>
                <w:szCs w:val="24"/>
                <w:rtl/>
              </w:rPr>
              <w:t>בקשת רשות ערעור על פסק דינו של בית המשפט המחוזי בנצרת בע"פ 16147-04-17 מיום 23.12.2018 שניתן על ידי כב' השופטת ת' נסים שי</w:t>
            </w:r>
          </w:p>
        </w:tc>
      </w:tr>
    </w:tbl>
    <w:p w:rsidR="00916FF8" w:rsidRDefault="00916FF8">
      <w:pPr>
        <w:pStyle w:val="Ruller3"/>
        <w:rPr>
          <w:rtl/>
        </w:rPr>
      </w:pPr>
    </w:p>
    <w:p w:rsidR="00916FF8" w:rsidRDefault="0072007F">
      <w:pPr>
        <w:pStyle w:val="Ruller3"/>
        <w:rPr>
          <w:rtl/>
        </w:rPr>
      </w:pPr>
      <w:r>
        <w:rPr>
          <w:rFonts w:hint="cs"/>
          <w:rtl/>
        </w:rPr>
        <w:t>בשם המבקש:</w:t>
      </w:r>
      <w:r>
        <w:rPr>
          <w:rtl/>
        </w:rPr>
        <w:tab/>
      </w:r>
      <w:r>
        <w:rPr>
          <w:rFonts w:hint="cs"/>
          <w:rtl/>
        </w:rPr>
        <w:t>עו"ד תמר איגרא; עו"ד אילנה בארף-שניר</w:t>
      </w:r>
    </w:p>
    <w:p w:rsidR="0072007F" w:rsidRDefault="0072007F">
      <w:pPr>
        <w:pStyle w:val="Ruller3"/>
      </w:pPr>
      <w:r>
        <w:rPr>
          <w:rFonts w:hint="cs"/>
          <w:rtl/>
        </w:rPr>
        <w:t>בשם המשיב:</w:t>
      </w:r>
      <w:r>
        <w:rPr>
          <w:rtl/>
        </w:rPr>
        <w:tab/>
      </w:r>
      <w:r>
        <w:rPr>
          <w:rFonts w:hint="cs"/>
          <w:rtl/>
        </w:rPr>
        <w:t>עו"ד עדי דמתי-שגיא</w:t>
      </w:r>
    </w:p>
    <w:p w:rsidR="00916FF8" w:rsidRDefault="00916FF8">
      <w:pPr>
        <w:pStyle w:val="Ruller3"/>
      </w:pPr>
    </w:p>
    <w:p w:rsidR="00916FF8" w:rsidRDefault="00916FF8">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4F6994">
            <w:pPr>
              <w:pStyle w:val="DocumentHead"/>
            </w:pPr>
            <w:bookmarkStart w:id="1" w:name="secretary"/>
            <w:bookmarkStart w:id="2" w:name="BeginProtocol"/>
            <w:bookmarkEnd w:id="1"/>
            <w:bookmarkEnd w:id="2"/>
            <w:r>
              <w:rPr>
                <w:rtl/>
              </w:rPr>
              <w:t>החלטה</w:t>
            </w:r>
          </w:p>
        </w:tc>
      </w:tr>
    </w:tbl>
    <w:p w:rsidR="0065522F" w:rsidRDefault="0065522F">
      <w:pPr>
        <w:pStyle w:val="BODYVERDICT"/>
      </w:pPr>
    </w:p>
    <w:p w:rsidR="00916FF8" w:rsidRPr="00503A3E" w:rsidRDefault="00916FF8">
      <w:pPr>
        <w:pStyle w:val="BODYVERDICT"/>
        <w:rPr>
          <w:rFonts w:cs="Miriam"/>
          <w:sz w:val="24"/>
          <w:szCs w:val="24"/>
          <w:u w:val="single"/>
          <w:rtl/>
        </w:rPr>
      </w:pPr>
      <w:bookmarkStart w:id="3" w:name="Writer_Name"/>
      <w:bookmarkEnd w:id="3"/>
    </w:p>
    <w:p w:rsidR="001D5344" w:rsidRDefault="001D5344" w:rsidP="00795941">
      <w:pPr>
        <w:pStyle w:val="Ruller4"/>
        <w:rPr>
          <w:rFonts w:ascii="Century" w:hAnsi="Century"/>
          <w:sz w:val="22"/>
          <w:rtl/>
        </w:rPr>
      </w:pPr>
      <w:bookmarkStart w:id="4" w:name="Start_Write"/>
      <w:bookmarkEnd w:id="4"/>
      <w:r>
        <w:rPr>
          <w:rFonts w:hint="cs"/>
          <w:rtl/>
        </w:rPr>
        <w:t xml:space="preserve">לפניי בקשת רשות ערעור על פסק דינו של בית המשפט המחוזי בנצרת (השופטת </w:t>
      </w:r>
      <w:r>
        <w:rPr>
          <w:rFonts w:ascii="Century" w:hAnsi="Century" w:cs="Miriam" w:hint="cs"/>
          <w:b/>
          <w:spacing w:val="0"/>
          <w:sz w:val="22"/>
          <w:szCs w:val="24"/>
          <w:rtl/>
        </w:rPr>
        <w:t>ת' נסים שי</w:t>
      </w:r>
      <w:r>
        <w:rPr>
          <w:rFonts w:ascii="Century" w:hAnsi="Century" w:hint="cs"/>
          <w:sz w:val="22"/>
          <w:rtl/>
        </w:rPr>
        <w:t>) בע"פ 16147-04-17 מיום 23.12.2018, במסגרתו נדחה ערעור</w:t>
      </w:r>
      <w:r w:rsidR="003F5C6F">
        <w:rPr>
          <w:rFonts w:ascii="Century" w:hAnsi="Century" w:hint="cs"/>
          <w:sz w:val="22"/>
          <w:rtl/>
        </w:rPr>
        <w:t>ו של</w:t>
      </w:r>
      <w:r>
        <w:rPr>
          <w:rFonts w:ascii="Century" w:hAnsi="Century" w:hint="cs"/>
          <w:sz w:val="22"/>
          <w:rtl/>
        </w:rPr>
        <w:t xml:space="preserve"> המבקש על פסק דינו של בית משפט השלום בעפולה (השופטת </w:t>
      </w:r>
      <w:r w:rsidRPr="00401297">
        <w:rPr>
          <w:rFonts w:ascii="Century" w:hAnsi="Century" w:cs="Miriam" w:hint="cs"/>
          <w:b/>
          <w:spacing w:val="0"/>
          <w:sz w:val="22"/>
          <w:szCs w:val="24"/>
          <w:rtl/>
        </w:rPr>
        <w:t>ש' נאשף-אבו אחמד</w:t>
      </w:r>
      <w:r>
        <w:rPr>
          <w:rFonts w:ascii="Century" w:hAnsi="Century" w:hint="cs"/>
          <w:sz w:val="22"/>
          <w:rtl/>
        </w:rPr>
        <w:t xml:space="preserve">) בת"א 36189-04-15 מיום 12.2.2017, אשר דחה את בקשת המבקש לביטול צו להסרת פגיעה בסביבה החופית, לפי חוק שמירת הסביבה החופית, התשס"ד-2004 (להלן: </w:t>
      </w:r>
      <w:r w:rsidRPr="00401297">
        <w:rPr>
          <w:rFonts w:ascii="Century" w:hAnsi="Century" w:cs="Miriam" w:hint="cs"/>
          <w:b/>
          <w:spacing w:val="0"/>
          <w:sz w:val="22"/>
          <w:szCs w:val="24"/>
          <w:rtl/>
        </w:rPr>
        <w:t>חוק שמירת הסביבה החופית</w:t>
      </w:r>
      <w:r>
        <w:rPr>
          <w:rFonts w:ascii="Century" w:hAnsi="Century" w:hint="cs"/>
          <w:sz w:val="22"/>
          <w:rtl/>
        </w:rPr>
        <w:t>).</w:t>
      </w:r>
    </w:p>
    <w:p w:rsidR="001D5344" w:rsidRDefault="001D5344" w:rsidP="001D5344">
      <w:pPr>
        <w:pStyle w:val="Ruller4"/>
        <w:numPr>
          <w:ilvl w:val="0"/>
          <w:numId w:val="0"/>
        </w:numPr>
      </w:pPr>
    </w:p>
    <w:p w:rsidR="001D5344" w:rsidRDefault="001D5344" w:rsidP="00961E14">
      <w:pPr>
        <w:pStyle w:val="Ruller4"/>
      </w:pPr>
      <w:r>
        <w:rPr>
          <w:rFonts w:hint="cs"/>
          <w:rtl/>
        </w:rPr>
        <w:t xml:space="preserve">ביום 12.4.2015 </w:t>
      </w:r>
      <w:r w:rsidR="00961E14">
        <w:rPr>
          <w:rFonts w:hint="cs"/>
          <w:rtl/>
        </w:rPr>
        <w:t>הוצא</w:t>
      </w:r>
      <w:r>
        <w:rPr>
          <w:rFonts w:hint="cs"/>
          <w:rtl/>
        </w:rPr>
        <w:t xml:space="preserve"> נגד המבקש, קיבוץ עין גב, צו להסרת פגיעה בסביבה החופית (להלן: </w:t>
      </w:r>
      <w:r w:rsidRPr="00401297">
        <w:rPr>
          <w:rFonts w:ascii="Century" w:hAnsi="Century" w:cs="Miriam" w:hint="cs"/>
          <w:b/>
          <w:spacing w:val="0"/>
          <w:sz w:val="22"/>
          <w:szCs w:val="24"/>
          <w:rtl/>
        </w:rPr>
        <w:t>צו ההסרה</w:t>
      </w:r>
      <w:r>
        <w:rPr>
          <w:rFonts w:hint="cs"/>
          <w:rtl/>
        </w:rPr>
        <w:t xml:space="preserve">) לפי סעיף 9 לחוק שמירת הסביבה החופית. </w:t>
      </w:r>
    </w:p>
    <w:p w:rsidR="001D5344" w:rsidRPr="007D5A27" w:rsidRDefault="001D5344" w:rsidP="001D5344">
      <w:pPr>
        <w:pStyle w:val="Ruller4"/>
        <w:numPr>
          <w:ilvl w:val="0"/>
          <w:numId w:val="0"/>
        </w:numPr>
        <w:rPr>
          <w:rtl/>
        </w:rPr>
      </w:pPr>
    </w:p>
    <w:p w:rsidR="001D5344" w:rsidRDefault="001D5344" w:rsidP="00096D88">
      <w:pPr>
        <w:pStyle w:val="Ruller4"/>
        <w:numPr>
          <w:ilvl w:val="0"/>
          <w:numId w:val="0"/>
        </w:numPr>
        <w:rPr>
          <w:rtl/>
        </w:rPr>
      </w:pPr>
      <w:r>
        <w:rPr>
          <w:rtl/>
        </w:rPr>
        <w:lastRenderedPageBreak/>
        <w:tab/>
      </w:r>
      <w:r>
        <w:rPr>
          <w:rFonts w:hint="cs"/>
          <w:rtl/>
        </w:rPr>
        <w:t xml:space="preserve">במסגרת צו ההסרה, נדרש המבקש להסיר </w:t>
      </w:r>
      <w:r w:rsidR="00A95FFF">
        <w:rPr>
          <w:rFonts w:hint="cs"/>
          <w:rtl/>
        </w:rPr>
        <w:t>"</w:t>
      </w:r>
      <w:r>
        <w:rPr>
          <w:rFonts w:hint="cs"/>
          <w:rtl/>
        </w:rPr>
        <w:t>מכשולים</w:t>
      </w:r>
      <w:r w:rsidR="00A95FFF">
        <w:rPr>
          <w:rFonts w:hint="cs"/>
          <w:rtl/>
        </w:rPr>
        <w:t>"</w:t>
      </w:r>
      <w:r>
        <w:rPr>
          <w:rFonts w:hint="cs"/>
          <w:rtl/>
        </w:rPr>
        <w:t xml:space="preserve"> שונים </w:t>
      </w:r>
      <w:r w:rsidR="00096D88">
        <w:rPr>
          <w:rFonts w:hint="cs"/>
          <w:rtl/>
        </w:rPr>
        <w:t>ש</w:t>
      </w:r>
      <w:r>
        <w:rPr>
          <w:rFonts w:hint="cs"/>
          <w:rtl/>
        </w:rPr>
        <w:t xml:space="preserve">הציב בכפר הנופש המופעל על ידו בסמוך לחופי הכינרת. בין היתר נדרש המבקש להסיר גדרות, מבנה מסעדה ומתקנים שונים בכפר הנופש, </w:t>
      </w:r>
      <w:r w:rsidR="00EE6C2F">
        <w:rPr>
          <w:rFonts w:hint="cs"/>
          <w:rtl/>
        </w:rPr>
        <w:t>א</w:t>
      </w:r>
      <w:r>
        <w:rPr>
          <w:rFonts w:hint="cs"/>
          <w:rtl/>
        </w:rPr>
        <w:t>ש</w:t>
      </w:r>
      <w:r w:rsidR="00EE6C2F">
        <w:rPr>
          <w:rFonts w:hint="cs"/>
          <w:rtl/>
        </w:rPr>
        <w:t xml:space="preserve">ר </w:t>
      </w:r>
      <w:r>
        <w:rPr>
          <w:rFonts w:hint="cs"/>
          <w:rtl/>
        </w:rPr>
        <w:t xml:space="preserve">מנעו מעבר חופשי לציבור לאורך 2 ק"מ מרצועת החוף (להלן: </w:t>
      </w:r>
      <w:r w:rsidRPr="00401297">
        <w:rPr>
          <w:rFonts w:ascii="Century" w:hAnsi="Century" w:cs="Miriam" w:hint="cs"/>
          <w:b/>
          <w:spacing w:val="0"/>
          <w:sz w:val="22"/>
          <w:szCs w:val="24"/>
          <w:rtl/>
        </w:rPr>
        <w:t>המכשולים</w:t>
      </w:r>
      <w:r>
        <w:rPr>
          <w:rFonts w:hint="cs"/>
          <w:rtl/>
        </w:rPr>
        <w:t>).</w:t>
      </w:r>
    </w:p>
    <w:p w:rsidR="001D5344" w:rsidRDefault="001D5344" w:rsidP="001D5344">
      <w:pPr>
        <w:pStyle w:val="Ruller40"/>
        <w:rPr>
          <w:rtl/>
        </w:rPr>
      </w:pPr>
    </w:p>
    <w:p w:rsidR="001D5344" w:rsidRDefault="001D5344" w:rsidP="001D5344">
      <w:pPr>
        <w:pStyle w:val="Ruller4"/>
        <w:rPr>
          <w:rtl/>
        </w:rPr>
      </w:pPr>
      <w:r>
        <w:rPr>
          <w:rFonts w:hint="cs"/>
          <w:rtl/>
        </w:rPr>
        <w:t>על פי המתואר בצו ההסרה, המבקש הציב את המכשולים במרחק של כ-8 מטר מ"קו החוף", כהגדרתו בחוק שמירת הסביבה החופית, וזאת ללא היתר בניה כדין. כתוצאה מהצבת המכשולים, כך נטען בצו ההסרה, נפגעה זכות הציבור למעבר חופשי ב"תחום חוף הים" כהגדרתו בחוק זה, וזאת בניגוד לסעיף 5 לחוק</w:t>
      </w:r>
      <w:r w:rsidR="007E579C">
        <w:rPr>
          <w:rFonts w:hint="cs"/>
          <w:rtl/>
        </w:rPr>
        <w:t xml:space="preserve"> שמירת הסביבה החופית</w:t>
      </w:r>
      <w:r>
        <w:rPr>
          <w:rFonts w:hint="cs"/>
          <w:rtl/>
        </w:rPr>
        <w:t>.</w:t>
      </w:r>
    </w:p>
    <w:p w:rsidR="001D5344" w:rsidRDefault="001D5344" w:rsidP="001D5344">
      <w:pPr>
        <w:pStyle w:val="Ruller40"/>
        <w:rPr>
          <w:rtl/>
        </w:rPr>
      </w:pPr>
    </w:p>
    <w:p w:rsidR="001D5344" w:rsidRPr="002B46E9" w:rsidRDefault="00301045" w:rsidP="00915632">
      <w:pPr>
        <w:pStyle w:val="Ruller40"/>
        <w:rPr>
          <w:rtl/>
        </w:rPr>
      </w:pPr>
      <w:r>
        <w:rPr>
          <w:rtl/>
        </w:rPr>
        <w:tab/>
      </w:r>
      <w:r>
        <w:rPr>
          <w:rFonts w:hint="cs"/>
          <w:rtl/>
        </w:rPr>
        <w:t xml:space="preserve">במרוצת ההליך, הגיעו הצדדים להסכמות בנוגע למירב הפריטים המנויים בצו, ואילו לעניין הבקשה שלפניי </w:t>
      </w:r>
      <w:r w:rsidR="007A642B">
        <w:rPr>
          <w:rFonts w:hint="cs"/>
          <w:rtl/>
        </w:rPr>
        <w:t>נותרו במחלוקת</w:t>
      </w:r>
      <w:r>
        <w:rPr>
          <w:rFonts w:hint="cs"/>
          <w:rtl/>
        </w:rPr>
        <w:t xml:space="preserve"> </w:t>
      </w:r>
      <w:r w:rsidR="001D5344">
        <w:rPr>
          <w:rFonts w:hint="cs"/>
          <w:rtl/>
        </w:rPr>
        <w:t xml:space="preserve">סעיפים 1 ו-2 לצו ההסרה, אשר </w:t>
      </w:r>
      <w:r w:rsidR="00561CCE">
        <w:rPr>
          <w:rFonts w:hint="cs"/>
          <w:rtl/>
        </w:rPr>
        <w:t xml:space="preserve">לפיהם </w:t>
      </w:r>
      <w:r w:rsidR="001D5344">
        <w:rPr>
          <w:rFonts w:hint="cs"/>
          <w:rtl/>
        </w:rPr>
        <w:t xml:space="preserve">על המבקש להסיר את הגדר בגבול הדרומי </w:t>
      </w:r>
      <w:r w:rsidR="00915632">
        <w:rPr>
          <w:rFonts w:hint="cs"/>
          <w:rtl/>
        </w:rPr>
        <w:t xml:space="preserve">ואת הגדר בגבול הצפוני </w:t>
      </w:r>
      <w:r w:rsidR="001D5344">
        <w:rPr>
          <w:rFonts w:hint="cs"/>
          <w:rtl/>
        </w:rPr>
        <w:t>של כפר הנופש</w:t>
      </w:r>
      <w:r w:rsidR="00915632">
        <w:rPr>
          <w:rFonts w:hint="cs"/>
          <w:rtl/>
        </w:rPr>
        <w:t>.</w:t>
      </w:r>
    </w:p>
    <w:p w:rsidR="001D5344" w:rsidRDefault="001D5344" w:rsidP="001D5344">
      <w:pPr>
        <w:pStyle w:val="Ruller40"/>
        <w:rPr>
          <w:rtl/>
        </w:rPr>
      </w:pPr>
    </w:p>
    <w:p w:rsidR="001D5344" w:rsidRPr="00CA246A" w:rsidRDefault="001D5344" w:rsidP="001D5344">
      <w:pPr>
        <w:pStyle w:val="Ruller4"/>
        <w:rPr>
          <w:rtl/>
        </w:rPr>
      </w:pPr>
      <w:r>
        <w:rPr>
          <w:rFonts w:hint="cs"/>
          <w:rtl/>
        </w:rPr>
        <w:t>ביום 21.4.2015 הגיש המבקש בקשה לביטול צו ההסרה לבית משפט השלום בעפולה מכוח סעיף 10 לחוק שמירת הסביבה החופית, במסגרתה טען כי נפלו פגמים שונים בהליך הוצאת הצו</w:t>
      </w:r>
      <w:r w:rsidRPr="00CA246A">
        <w:rPr>
          <w:rFonts w:hint="cs"/>
          <w:rtl/>
        </w:rPr>
        <w:t>. בין היתר נטען כי הצו הוצא שלא כדין, לנוכח התקיימותו של החריג המנוי בסעיף 5(ב) לחוק שמירת הסביבה החופית, המאפשר את חסימת המעבר החופשי לאורך תחום חוף הים אם "הדבר נעשה בהתאם לתכנית או היתר".</w:t>
      </w:r>
    </w:p>
    <w:p w:rsidR="001D5344" w:rsidRPr="00CA246A" w:rsidRDefault="001D5344" w:rsidP="001D5344">
      <w:pPr>
        <w:pStyle w:val="Ruller40"/>
        <w:rPr>
          <w:rtl/>
        </w:rPr>
      </w:pPr>
    </w:p>
    <w:p w:rsidR="001D5344" w:rsidRDefault="001D5344" w:rsidP="003879A7">
      <w:pPr>
        <w:pStyle w:val="Ruller4"/>
        <w:rPr>
          <w:rtl/>
        </w:rPr>
      </w:pPr>
      <w:r>
        <w:rPr>
          <w:rFonts w:hint="cs"/>
          <w:rtl/>
        </w:rPr>
        <w:t>ביום 12.2.2017 דחה בית משפט השלום בעפולה את הבקשה, וזאת לאחר ששמע ראיות ו</w:t>
      </w:r>
      <w:r w:rsidR="00DD4D2D">
        <w:rPr>
          <w:rFonts w:hint="cs"/>
          <w:rtl/>
        </w:rPr>
        <w:t xml:space="preserve">ערך </w:t>
      </w:r>
      <w:r>
        <w:rPr>
          <w:rFonts w:hint="cs"/>
          <w:rtl/>
        </w:rPr>
        <w:t>ביק</w:t>
      </w:r>
      <w:r w:rsidR="00DD4D2D">
        <w:rPr>
          <w:rFonts w:hint="cs"/>
          <w:rtl/>
        </w:rPr>
        <w:t>ו</w:t>
      </w:r>
      <w:r>
        <w:rPr>
          <w:rFonts w:hint="cs"/>
          <w:rtl/>
        </w:rPr>
        <w:t xml:space="preserve">ר </w:t>
      </w:r>
      <w:r w:rsidR="003879A7">
        <w:rPr>
          <w:rFonts w:hint="cs"/>
          <w:rtl/>
        </w:rPr>
        <w:t>במקר</w:t>
      </w:r>
      <w:r w:rsidR="00A4373C">
        <w:rPr>
          <w:rFonts w:hint="cs"/>
          <w:rtl/>
        </w:rPr>
        <w:t>ק</w:t>
      </w:r>
      <w:r w:rsidR="003879A7">
        <w:rPr>
          <w:rFonts w:hint="cs"/>
          <w:rtl/>
        </w:rPr>
        <w:t xml:space="preserve">עין </w:t>
      </w:r>
      <w:r w:rsidR="0063128A">
        <w:rPr>
          <w:rFonts w:hint="cs"/>
          <w:rtl/>
        </w:rPr>
        <w:t>נשוא הבקשה</w:t>
      </w:r>
      <w:r>
        <w:rPr>
          <w:rFonts w:hint="cs"/>
          <w:rtl/>
        </w:rPr>
        <w:t xml:space="preserve">. </w:t>
      </w:r>
    </w:p>
    <w:p w:rsidR="001D5344" w:rsidRPr="000C1F97" w:rsidRDefault="001D5344" w:rsidP="001D5344">
      <w:pPr>
        <w:pStyle w:val="Ruller40"/>
        <w:rPr>
          <w:rtl/>
        </w:rPr>
      </w:pPr>
    </w:p>
    <w:p w:rsidR="001D5344" w:rsidRDefault="001D5344" w:rsidP="008361E2">
      <w:pPr>
        <w:pStyle w:val="Ruller40"/>
        <w:rPr>
          <w:rtl/>
        </w:rPr>
      </w:pPr>
      <w:r>
        <w:rPr>
          <w:rtl/>
        </w:rPr>
        <w:tab/>
      </w:r>
      <w:r w:rsidR="008361E2">
        <w:rPr>
          <w:rFonts w:hint="cs"/>
          <w:rtl/>
        </w:rPr>
        <w:t xml:space="preserve">בתחילת </w:t>
      </w:r>
      <w:r w:rsidRPr="00614F53">
        <w:rPr>
          <w:rFonts w:hint="cs"/>
          <w:rtl/>
        </w:rPr>
        <w:t xml:space="preserve">פסק הדין, דחה בית המשפט השלום את "טענות הסף" של המבקש באשר לתקינותו של </w:t>
      </w:r>
      <w:r>
        <w:rPr>
          <w:rFonts w:hint="cs"/>
          <w:rtl/>
        </w:rPr>
        <w:t>הליך הוצאת הצו</w:t>
      </w:r>
      <w:r w:rsidRPr="00614F53">
        <w:rPr>
          <w:rFonts w:hint="cs"/>
          <w:rtl/>
        </w:rPr>
        <w:t xml:space="preserve"> ובכלל זה, את הטענה בדבר הצורך בהוכחת </w:t>
      </w:r>
      <w:r w:rsidRPr="00614F53">
        <w:rPr>
          <w:rFonts w:hint="cs"/>
          <w:rtl/>
        </w:rPr>
        <w:lastRenderedPageBreak/>
        <w:t>"רמת וודאות גבוהה" לקיום התנאים הקבועים בחוק שמירת הסביבה החופית לצורך הוצא</w:t>
      </w:r>
      <w:r w:rsidR="00C64BA9">
        <w:rPr>
          <w:rFonts w:hint="cs"/>
          <w:rtl/>
        </w:rPr>
        <w:t>ת</w:t>
      </w:r>
      <w:r w:rsidRPr="00614F53">
        <w:rPr>
          <w:rFonts w:hint="cs"/>
          <w:rtl/>
        </w:rPr>
        <w:t xml:space="preserve"> צו ההסרה.</w:t>
      </w:r>
    </w:p>
    <w:p w:rsidR="001D5344" w:rsidRDefault="001D5344" w:rsidP="001D5344">
      <w:pPr>
        <w:pStyle w:val="Ruller40"/>
        <w:rPr>
          <w:rtl/>
        </w:rPr>
      </w:pPr>
    </w:p>
    <w:p w:rsidR="001D5344" w:rsidRDefault="001D5344" w:rsidP="00DD3B6C">
      <w:pPr>
        <w:pStyle w:val="Ruller40"/>
        <w:rPr>
          <w:rtl/>
        </w:rPr>
      </w:pPr>
      <w:r>
        <w:rPr>
          <w:rtl/>
        </w:rPr>
        <w:tab/>
      </w:r>
      <w:r>
        <w:rPr>
          <w:rFonts w:hint="cs"/>
          <w:rtl/>
        </w:rPr>
        <w:t>לגופו של עניין קבע בית משפט השלום כי כלל המכשולים המופיעים בצו ההסרה, לרבות הגדר הדרומית והגדר הצפונית, הוקמו ללא היתר כדין; כי הגדרות חוסמות את המעבר החופשי לאורך חוף הים בניגוד לאמור בסעיף 5(א) לחוק שמירת הסביבה החופית; וכי הגדר הדרומית לא "הכרחית לצרכי בטיחות", ומשכך, לא נפל פגם בהחלטת המשיבה להוציא את צו ההסרה.</w:t>
      </w:r>
    </w:p>
    <w:p w:rsidR="001D5344" w:rsidRPr="001247DE" w:rsidRDefault="001D5344" w:rsidP="001D5344">
      <w:pPr>
        <w:jc w:val="both"/>
        <w:rPr>
          <w:rFonts w:ascii="Arial TUR" w:hAnsi="Arial TUR"/>
          <w:rtl/>
        </w:rPr>
      </w:pPr>
    </w:p>
    <w:p w:rsidR="001D5344" w:rsidRDefault="001D5344" w:rsidP="00912C05">
      <w:pPr>
        <w:pStyle w:val="Ruller4"/>
      </w:pPr>
      <w:r>
        <w:rPr>
          <w:rFonts w:hint="cs"/>
          <w:rtl/>
        </w:rPr>
        <w:t xml:space="preserve">המבקש ערער לבית המשפט המחוזי </w:t>
      </w:r>
      <w:r w:rsidR="00072D1A">
        <w:rPr>
          <w:rFonts w:hint="cs"/>
          <w:rtl/>
        </w:rPr>
        <w:t xml:space="preserve">בין היתר </w:t>
      </w:r>
      <w:r>
        <w:rPr>
          <w:rFonts w:hint="cs"/>
          <w:rtl/>
        </w:rPr>
        <w:t xml:space="preserve">בטענה כי בית משפט השלום התעלם מהחריגים הקבועים בחוק שמירת הסביבה החופית, המאפשרים את חסימת הגישה החופשית, ובפרט מהוראות סעיף 5(ג)(8)(ב) </w:t>
      </w:r>
      <w:r w:rsidR="004B29FD">
        <w:rPr>
          <w:rFonts w:hint="cs"/>
          <w:rtl/>
        </w:rPr>
        <w:t xml:space="preserve">לחוק זה, </w:t>
      </w:r>
      <w:r>
        <w:rPr>
          <w:rFonts w:hint="cs"/>
          <w:rtl/>
        </w:rPr>
        <w:t xml:space="preserve">לפיו זכות הציבור למעבר חופשי לא תחול </w:t>
      </w:r>
      <w:r w:rsidR="00912C05">
        <w:rPr>
          <w:rFonts w:hint="cs"/>
          <w:rtl/>
        </w:rPr>
        <w:t>ב</w:t>
      </w:r>
      <w:r>
        <w:rPr>
          <w:rFonts w:hint="cs"/>
          <w:rtl/>
        </w:rPr>
        <w:t xml:space="preserve">מקרקעין </w:t>
      </w:r>
      <w:r w:rsidR="00912C05">
        <w:rPr>
          <w:rFonts w:hint="cs"/>
          <w:rtl/>
        </w:rPr>
        <w:t xml:space="preserve">אשר </w:t>
      </w:r>
      <w:r>
        <w:rPr>
          <w:rFonts w:hint="cs"/>
          <w:rtl/>
        </w:rPr>
        <w:t>"היתה לאדם זכות שכירות לגביהם" ערב יום תחילת החוק.</w:t>
      </w:r>
    </w:p>
    <w:p w:rsidR="001D5344" w:rsidRDefault="001D5344" w:rsidP="001D5344">
      <w:pPr>
        <w:pStyle w:val="Ruller4"/>
        <w:numPr>
          <w:ilvl w:val="0"/>
          <w:numId w:val="0"/>
        </w:numPr>
        <w:rPr>
          <w:rtl/>
        </w:rPr>
      </w:pPr>
    </w:p>
    <w:p w:rsidR="001D5344" w:rsidRDefault="001D5344" w:rsidP="00797993">
      <w:pPr>
        <w:pStyle w:val="Ruller4"/>
        <w:numPr>
          <w:ilvl w:val="0"/>
          <w:numId w:val="0"/>
        </w:numPr>
        <w:rPr>
          <w:rtl/>
        </w:rPr>
      </w:pPr>
      <w:r>
        <w:rPr>
          <w:rtl/>
        </w:rPr>
        <w:tab/>
      </w:r>
      <w:r>
        <w:rPr>
          <w:rFonts w:hint="cs"/>
          <w:rtl/>
        </w:rPr>
        <w:t>לחילופין נטען כי אין בהוראות חוק שמירת הסביבה החופית כדי לפגוע בזכויותיו של המבקש, וזאת לנוכח הוראת המעבר המנויה בסעיף 20 לחוק זה אשר מטרתה להגן על זכויות מוקנות שהיו קיימות לחוכר בטרם נכנס החוק לתוקף.</w:t>
      </w:r>
    </w:p>
    <w:p w:rsidR="001D5344" w:rsidRDefault="001D5344" w:rsidP="001D5344">
      <w:pPr>
        <w:pStyle w:val="Ruller40"/>
        <w:rPr>
          <w:rtl/>
        </w:rPr>
      </w:pPr>
    </w:p>
    <w:p w:rsidR="001D5344" w:rsidRDefault="001D5344" w:rsidP="00F83C27">
      <w:pPr>
        <w:pStyle w:val="Ruller40"/>
        <w:rPr>
          <w:rtl/>
        </w:rPr>
      </w:pPr>
      <w:r>
        <w:rPr>
          <w:rtl/>
        </w:rPr>
        <w:tab/>
      </w:r>
      <w:r>
        <w:rPr>
          <w:rFonts w:hint="cs"/>
          <w:rtl/>
        </w:rPr>
        <w:t xml:space="preserve">בהתייחס לכך נטען כי על פי הסכם החכירה בין המבקש </w:t>
      </w:r>
      <w:r w:rsidR="00F83C27">
        <w:rPr>
          <w:rFonts w:hint="cs"/>
          <w:rtl/>
        </w:rPr>
        <w:t xml:space="preserve">לרשות מקרקעי ישראל (להלן: </w:t>
      </w:r>
      <w:r w:rsidR="00F83C27">
        <w:rPr>
          <w:rFonts w:ascii="Century" w:hAnsi="Century" w:cs="Miriam" w:hint="cs"/>
          <w:b/>
          <w:spacing w:val="0"/>
          <w:szCs w:val="24"/>
          <w:rtl/>
        </w:rPr>
        <w:t>רמ"י</w:t>
      </w:r>
      <w:r w:rsidR="00F83C27">
        <w:rPr>
          <w:rFonts w:ascii="Century" w:hAnsi="Century" w:hint="cs"/>
          <w:rtl/>
        </w:rPr>
        <w:t>)</w:t>
      </w:r>
      <w:r>
        <w:rPr>
          <w:rFonts w:hint="cs"/>
          <w:rtl/>
        </w:rPr>
        <w:t>, נתונה למבקש הזכות להשתמש במקרקעין בתחום הסביבה החופית ועד לקו המים, לרבות האפשרות לגידור מתחם כפר הנופש לצורך שליטה במקום ומטעמי בטיחות</w:t>
      </w:r>
      <w:r w:rsidR="00F83C27">
        <w:rPr>
          <w:rFonts w:hint="cs"/>
          <w:rtl/>
        </w:rPr>
        <w:t xml:space="preserve"> (להלן: </w:t>
      </w:r>
      <w:r w:rsidR="00F83C27">
        <w:rPr>
          <w:rFonts w:ascii="Century" w:hAnsi="Century" w:cs="Miriam" w:hint="cs"/>
          <w:b/>
          <w:spacing w:val="0"/>
          <w:szCs w:val="24"/>
          <w:rtl/>
        </w:rPr>
        <w:t>הסכם</w:t>
      </w:r>
      <w:r w:rsidR="00F83C27" w:rsidRPr="00134C3D">
        <w:rPr>
          <w:rFonts w:ascii="Century" w:hAnsi="Century" w:cs="Miriam" w:hint="cs"/>
          <w:b/>
          <w:spacing w:val="0"/>
          <w:szCs w:val="24"/>
          <w:rtl/>
        </w:rPr>
        <w:t xml:space="preserve"> החכירה</w:t>
      </w:r>
      <w:r w:rsidR="00F83C27">
        <w:rPr>
          <w:rFonts w:hint="cs"/>
          <w:rtl/>
        </w:rPr>
        <w:t>)</w:t>
      </w:r>
      <w:r>
        <w:rPr>
          <w:rFonts w:hint="cs"/>
          <w:rtl/>
        </w:rPr>
        <w:t>.</w:t>
      </w:r>
    </w:p>
    <w:p w:rsidR="001D5344" w:rsidRDefault="001D5344" w:rsidP="001D5344">
      <w:pPr>
        <w:pStyle w:val="Ruller40"/>
        <w:rPr>
          <w:rtl/>
        </w:rPr>
      </w:pPr>
    </w:p>
    <w:p w:rsidR="001D5344" w:rsidRDefault="001D5344" w:rsidP="001D5344">
      <w:pPr>
        <w:pStyle w:val="Ruller4"/>
        <w:rPr>
          <w:rtl/>
        </w:rPr>
      </w:pPr>
      <w:r>
        <w:rPr>
          <w:rFonts w:hint="cs"/>
          <w:rtl/>
        </w:rPr>
        <w:t>בית המשפט המחוזי דחה את הערעור תוך שסמך את ידיו על קביעותיו העובדתיות של בית משפט השלום</w:t>
      </w:r>
      <w:r w:rsidR="0081731D">
        <w:rPr>
          <w:rFonts w:hint="cs"/>
          <w:rtl/>
        </w:rPr>
        <w:t>,</w:t>
      </w:r>
      <w:r>
        <w:rPr>
          <w:rFonts w:hint="cs"/>
          <w:rtl/>
        </w:rPr>
        <w:t xml:space="preserve"> לפיהן גדרות כפר הנופש פוגעות בסביבה החופית באופן המצדיק את הוצאת צו ההסרה.</w:t>
      </w:r>
    </w:p>
    <w:p w:rsidR="001D5344" w:rsidRDefault="001D5344" w:rsidP="001D5344">
      <w:pPr>
        <w:pStyle w:val="Ruller40"/>
        <w:rPr>
          <w:rtl/>
        </w:rPr>
      </w:pPr>
    </w:p>
    <w:p w:rsidR="001D5344" w:rsidRDefault="001D5344" w:rsidP="002D6293">
      <w:pPr>
        <w:pStyle w:val="Ruller40"/>
        <w:rPr>
          <w:rtl/>
        </w:rPr>
      </w:pPr>
      <w:r>
        <w:rPr>
          <w:rFonts w:hint="cs"/>
          <w:rtl/>
        </w:rPr>
        <w:tab/>
        <w:t>כמו כן, דחה בית המשפט המחוזי את טענת המבקש לפיה עניינו נכנס בגדרי החריגים הקבועים בחוק שמירת הסביבה החופית</w:t>
      </w:r>
      <w:r w:rsidR="00C416BA">
        <w:rPr>
          <w:rFonts w:hint="cs"/>
          <w:rtl/>
        </w:rPr>
        <w:t xml:space="preserve"> בקבעו</w:t>
      </w:r>
      <w:r>
        <w:rPr>
          <w:rFonts w:hint="cs"/>
          <w:rtl/>
        </w:rPr>
        <w:t xml:space="preserve"> </w:t>
      </w:r>
      <w:r w:rsidR="002D6293">
        <w:rPr>
          <w:rFonts w:hint="cs"/>
          <w:rtl/>
        </w:rPr>
        <w:t>כי</w:t>
      </w:r>
      <w:r>
        <w:rPr>
          <w:rFonts w:hint="cs"/>
          <w:rtl/>
        </w:rPr>
        <w:t>:</w:t>
      </w:r>
    </w:p>
    <w:p w:rsidR="001D5344" w:rsidRDefault="001D5344" w:rsidP="001D5344">
      <w:pPr>
        <w:pStyle w:val="Ruller40"/>
        <w:rPr>
          <w:rtl/>
        </w:rPr>
      </w:pPr>
    </w:p>
    <w:p w:rsidR="001D5344" w:rsidRDefault="001D5344" w:rsidP="001D5344">
      <w:pPr>
        <w:pStyle w:val="Ruller5"/>
        <w:rPr>
          <w:rtl/>
        </w:rPr>
      </w:pPr>
      <w:r>
        <w:rPr>
          <w:rFonts w:hint="cs"/>
          <w:rtl/>
        </w:rPr>
        <w:t>"</w:t>
      </w:r>
      <w:r w:rsidRPr="001247DE">
        <w:rPr>
          <w:rtl/>
        </w:rPr>
        <w:t>אין מדובר בהקמת גדר על פי תוכנית או היתר (</w:t>
      </w:r>
      <w:hyperlink r:id="rId8" w:history="1">
        <w:r w:rsidRPr="007813DE">
          <w:rPr>
            <w:rFonts w:hint="eastAsia"/>
            <w:rtl/>
          </w:rPr>
          <w:t>סעיף</w:t>
        </w:r>
        <w:r w:rsidRPr="007813DE">
          <w:rPr>
            <w:rtl/>
          </w:rPr>
          <w:t xml:space="preserve"> 5(</w:t>
        </w:r>
        <w:r w:rsidRPr="007813DE">
          <w:rPr>
            <w:rFonts w:hint="eastAsia"/>
            <w:rtl/>
          </w:rPr>
          <w:t>ב</w:t>
        </w:r>
        <w:r w:rsidRPr="007813DE">
          <w:rPr>
            <w:rtl/>
          </w:rPr>
          <w:t>)</w:t>
        </w:r>
      </w:hyperlink>
      <w:r w:rsidRPr="001247DE">
        <w:rPr>
          <w:rtl/>
        </w:rPr>
        <w:t xml:space="preserve"> לחוק); אף אם למערער</w:t>
      </w:r>
      <w:r>
        <w:rPr>
          <w:rFonts w:hint="cs"/>
          <w:rtl/>
        </w:rPr>
        <w:t xml:space="preserve"> [למבקש </w:t>
      </w:r>
      <w:r>
        <w:rPr>
          <w:rtl/>
        </w:rPr>
        <w:t>–</w:t>
      </w:r>
      <w:r>
        <w:rPr>
          <w:rFonts w:hint="cs"/>
          <w:rtl/>
        </w:rPr>
        <w:t xml:space="preserve"> </w:t>
      </w:r>
      <w:r w:rsidRPr="00152FF2">
        <w:rPr>
          <w:rFonts w:ascii="Century" w:hAnsi="Century" w:cs="Miriam" w:hint="cs"/>
          <w:b/>
          <w:spacing w:val="0"/>
          <w:szCs w:val="24"/>
          <w:rtl/>
        </w:rPr>
        <w:t>י' א'</w:t>
      </w:r>
      <w:r>
        <w:rPr>
          <w:rFonts w:hint="cs"/>
          <w:rtl/>
        </w:rPr>
        <w:t>]</w:t>
      </w:r>
      <w:r w:rsidRPr="001247DE">
        <w:rPr>
          <w:rtl/>
        </w:rPr>
        <w:t xml:space="preserve"> זכות שכירות במקרקעין כמובנה </w:t>
      </w:r>
      <w:hyperlink r:id="rId9" w:history="1">
        <w:r w:rsidRPr="007813DE">
          <w:rPr>
            <w:rFonts w:hint="eastAsia"/>
            <w:rtl/>
          </w:rPr>
          <w:t>בסעיף</w:t>
        </w:r>
        <w:r w:rsidRPr="007813DE">
          <w:rPr>
            <w:rtl/>
          </w:rPr>
          <w:t xml:space="preserve"> 5(</w:t>
        </w:r>
        <w:r w:rsidRPr="007813DE">
          <w:rPr>
            <w:rFonts w:hint="eastAsia"/>
            <w:rtl/>
          </w:rPr>
          <w:t>ג</w:t>
        </w:r>
        <w:r w:rsidRPr="007813DE">
          <w:rPr>
            <w:rtl/>
          </w:rPr>
          <w:t>)(8)(</w:t>
        </w:r>
        <w:r w:rsidRPr="007813DE">
          <w:rPr>
            <w:rFonts w:hint="eastAsia"/>
            <w:rtl/>
          </w:rPr>
          <w:t>ב</w:t>
        </w:r>
        <w:r w:rsidRPr="007813DE">
          <w:rPr>
            <w:rtl/>
          </w:rPr>
          <w:t>)</w:t>
        </w:r>
      </w:hyperlink>
      <w:r w:rsidRPr="001247DE">
        <w:rPr>
          <w:rtl/>
        </w:rPr>
        <w:t xml:space="preserve">, המאפשר מניעת מעבר, בפנינו ההחרגה המנויה בסעיף </w:t>
      </w:r>
      <w:hyperlink r:id="rId10" w:history="1">
        <w:r>
          <w:rPr>
            <w:rFonts w:hint="cs"/>
            <w:rtl/>
          </w:rPr>
          <w:t>5</w:t>
        </w:r>
        <w:r w:rsidRPr="007813DE">
          <w:rPr>
            <w:rtl/>
          </w:rPr>
          <w:t>(</w:t>
        </w:r>
        <w:r w:rsidRPr="007813DE">
          <w:rPr>
            <w:rFonts w:hint="eastAsia"/>
            <w:rtl/>
          </w:rPr>
          <w:t>ד</w:t>
        </w:r>
        <w:r w:rsidRPr="007813DE">
          <w:rPr>
            <w:rtl/>
          </w:rPr>
          <w:t>)</w:t>
        </w:r>
      </w:hyperlink>
      <w:r>
        <w:t xml:space="preserve"> </w:t>
      </w:r>
      <w:r w:rsidRPr="001247DE">
        <w:rPr>
          <w:rtl/>
        </w:rPr>
        <w:t xml:space="preserve">בעניין מקרקעין שהוכרה בהם זכות מעבר לציבור; אף הוראת המעבר המנויה </w:t>
      </w:r>
      <w:hyperlink r:id="rId11" w:history="1">
        <w:r w:rsidRPr="007813DE">
          <w:rPr>
            <w:rFonts w:hint="eastAsia"/>
            <w:rtl/>
          </w:rPr>
          <w:t>בסעיף</w:t>
        </w:r>
        <w:r w:rsidRPr="007813DE">
          <w:rPr>
            <w:rtl/>
          </w:rPr>
          <w:t xml:space="preserve"> 20</w:t>
        </w:r>
      </w:hyperlink>
      <w:r w:rsidRPr="001247DE">
        <w:rPr>
          <w:rtl/>
        </w:rPr>
        <w:t xml:space="preserve"> לחוק אינה מסייעות </w:t>
      </w:r>
      <w:r w:rsidRPr="00B35D41">
        <w:rPr>
          <w:rtl/>
        </w:rPr>
        <w:t xml:space="preserve">למערער, שכן היא שמורה לעיסוק או שימוש לגביו ניתן אישור או התחייבות. כאמור לעיל, </w:t>
      </w:r>
      <w:r w:rsidRPr="0070339D">
        <w:rPr>
          <w:rFonts w:ascii="Century" w:hAnsi="Century" w:cs="Miriam"/>
          <w:b/>
          <w:spacing w:val="0"/>
          <w:szCs w:val="24"/>
          <w:rtl/>
        </w:rPr>
        <w:t>מערכת ההתחייבות שבין המדינה לקיבוץ מעולם לא העניקה לו הרשאה לשימוש פרטי סגור בקו המים</w:t>
      </w:r>
      <w:r w:rsidRPr="00B35D41">
        <w:rPr>
          <w:rtl/>
        </w:rPr>
        <w:t>. עובדות אלה, בנבדל ובמצטבר, מובילות למסקנה כי גם בעניינה של הגדר הדרומית, לא קם חריג המאפשר למערער לסייג את עקרון הנגישות לחוף</w:t>
      </w:r>
      <w:r>
        <w:rPr>
          <w:rFonts w:hint="cs"/>
          <w:rtl/>
        </w:rPr>
        <w:t>"</w:t>
      </w:r>
      <w:r w:rsidR="00771B03">
        <w:rPr>
          <w:rFonts w:hint="cs"/>
          <w:rtl/>
        </w:rPr>
        <w:t xml:space="preserve"> (ההדגשה שלי </w:t>
      </w:r>
      <w:r w:rsidR="00771B03">
        <w:rPr>
          <w:rtl/>
        </w:rPr>
        <w:t>–</w:t>
      </w:r>
      <w:r w:rsidR="00771B03">
        <w:rPr>
          <w:rFonts w:hint="cs"/>
          <w:rtl/>
        </w:rPr>
        <w:t xml:space="preserve"> </w:t>
      </w:r>
      <w:r w:rsidR="00771B03" w:rsidRPr="00771B03">
        <w:rPr>
          <w:rFonts w:ascii="Century" w:hAnsi="Century" w:cs="Miriam" w:hint="cs"/>
          <w:b/>
          <w:spacing w:val="0"/>
          <w:szCs w:val="24"/>
          <w:rtl/>
        </w:rPr>
        <w:t>י' א'</w:t>
      </w:r>
      <w:r w:rsidR="00771B03">
        <w:rPr>
          <w:rFonts w:hint="cs"/>
          <w:rtl/>
        </w:rPr>
        <w:t>)</w:t>
      </w:r>
      <w:r w:rsidRPr="00B35D41">
        <w:rPr>
          <w:rtl/>
        </w:rPr>
        <w:t>.</w:t>
      </w:r>
    </w:p>
    <w:p w:rsidR="001D5344" w:rsidRDefault="001D5344" w:rsidP="001D5344">
      <w:pPr>
        <w:pStyle w:val="Ruller40"/>
        <w:rPr>
          <w:rtl/>
        </w:rPr>
      </w:pPr>
    </w:p>
    <w:p w:rsidR="001D5344" w:rsidRDefault="001D5344" w:rsidP="003F760C">
      <w:pPr>
        <w:pStyle w:val="Ruller40"/>
        <w:rPr>
          <w:rtl/>
        </w:rPr>
      </w:pPr>
      <w:r>
        <w:rPr>
          <w:rtl/>
        </w:rPr>
        <w:tab/>
      </w:r>
      <w:r>
        <w:rPr>
          <w:rFonts w:hint="cs"/>
          <w:rtl/>
        </w:rPr>
        <w:t>לבסוף, נדחתה טענת המבקש לפיה "נימוק בטיחותי מחייב את הותרת הגדר הדרומית". בהתייחס לכך ציין בית המשפט המחוזי כי המבקש רשאי בין היתר להקים "גדר אוורירית" שאינה צפופה אשר תענה על הצורך הבטיחותי מבלי לחסום את המעבר החופשי לחוף.</w:t>
      </w:r>
    </w:p>
    <w:p w:rsidR="001D5344" w:rsidRPr="003361FE" w:rsidRDefault="001D5344" w:rsidP="001D5344">
      <w:pPr>
        <w:pStyle w:val="Ruller40"/>
        <w:rPr>
          <w:rtl/>
        </w:rPr>
      </w:pPr>
      <w:r>
        <w:rPr>
          <w:rtl/>
        </w:rPr>
        <w:tab/>
      </w:r>
    </w:p>
    <w:p w:rsidR="001D5344" w:rsidRDefault="001D5344" w:rsidP="00A5401D">
      <w:pPr>
        <w:pStyle w:val="Ruller4"/>
        <w:rPr>
          <w:rtl/>
        </w:rPr>
      </w:pPr>
      <w:r w:rsidRPr="00765FA7">
        <w:rPr>
          <w:rFonts w:hint="cs"/>
          <w:rtl/>
        </w:rPr>
        <w:t xml:space="preserve">מכאן הבקשה שלפניי, במסגרתה שב המבקש על טענותיו כפי שנטענו בערכאות הקודמות, </w:t>
      </w:r>
      <w:r w:rsidR="00E800D9">
        <w:rPr>
          <w:rFonts w:hint="cs"/>
          <w:rtl/>
        </w:rPr>
        <w:t>ו</w:t>
      </w:r>
      <w:r w:rsidRPr="00765FA7">
        <w:rPr>
          <w:rFonts w:hint="cs"/>
          <w:rtl/>
        </w:rPr>
        <w:t>מפרט א</w:t>
      </w:r>
      <w:r w:rsidR="00464F46">
        <w:rPr>
          <w:rFonts w:hint="cs"/>
          <w:rtl/>
        </w:rPr>
        <w:t>ו</w:t>
      </w:r>
      <w:r w:rsidRPr="00765FA7">
        <w:rPr>
          <w:rFonts w:hint="cs"/>
          <w:rtl/>
        </w:rPr>
        <w:t>ת</w:t>
      </w:r>
      <w:r w:rsidR="00464F46">
        <w:rPr>
          <w:rFonts w:hint="cs"/>
          <w:rtl/>
        </w:rPr>
        <w:t>ן</w:t>
      </w:r>
      <w:r w:rsidRPr="00765FA7">
        <w:rPr>
          <w:rFonts w:hint="cs"/>
          <w:rtl/>
        </w:rPr>
        <w:t xml:space="preserve"> על פני למעלה מ-50 עמודים במסגרת בקשת רשות ערעור ותשובה לתגובת המשיבה</w:t>
      </w:r>
      <w:r w:rsidR="002C6CA6">
        <w:rPr>
          <w:rFonts w:hint="cs"/>
          <w:rtl/>
        </w:rPr>
        <w:t>.</w:t>
      </w:r>
      <w:r w:rsidR="0002597F">
        <w:rPr>
          <w:rFonts w:hint="cs"/>
          <w:rtl/>
        </w:rPr>
        <w:t xml:space="preserve"> </w:t>
      </w:r>
    </w:p>
    <w:p w:rsidR="001D5344" w:rsidRDefault="001D5344" w:rsidP="001D5344">
      <w:pPr>
        <w:pStyle w:val="Ruller40"/>
        <w:rPr>
          <w:rtl/>
        </w:rPr>
      </w:pPr>
    </w:p>
    <w:p w:rsidR="001D5344" w:rsidRDefault="001D5344" w:rsidP="001B1937">
      <w:pPr>
        <w:pStyle w:val="Ruller40"/>
        <w:rPr>
          <w:rtl/>
        </w:rPr>
      </w:pPr>
      <w:r>
        <w:rPr>
          <w:rtl/>
        </w:rPr>
        <w:tab/>
      </w:r>
      <w:r>
        <w:rPr>
          <w:rFonts w:hint="cs"/>
          <w:rtl/>
        </w:rPr>
        <w:t xml:space="preserve">בסופו של יום, </w:t>
      </w:r>
      <w:r w:rsidR="001B1937">
        <w:rPr>
          <w:rFonts w:hint="cs"/>
          <w:rtl/>
        </w:rPr>
        <w:t xml:space="preserve">הסוגיה </w:t>
      </w:r>
      <w:r>
        <w:rPr>
          <w:rFonts w:hint="cs"/>
          <w:rtl/>
        </w:rPr>
        <w:t xml:space="preserve">העיקרית עליה נסובה בקשת רשות הערעור </w:t>
      </w:r>
      <w:r>
        <w:rPr>
          <w:rtl/>
        </w:rPr>
        <w:t>–</w:t>
      </w:r>
      <w:r>
        <w:rPr>
          <w:rFonts w:hint="cs"/>
          <w:rtl/>
        </w:rPr>
        <w:t xml:space="preserve"> כמו גם בקשת הביטול המקורית שהוגשה והערעור עליה </w:t>
      </w:r>
      <w:r>
        <w:rPr>
          <w:rtl/>
        </w:rPr>
        <w:t>–</w:t>
      </w:r>
      <w:r>
        <w:rPr>
          <w:rFonts w:hint="cs"/>
          <w:rtl/>
        </w:rPr>
        <w:t xml:space="preserve"> היא באשר ל</w:t>
      </w:r>
      <w:r w:rsidR="00A30CC2">
        <w:rPr>
          <w:rFonts w:hint="cs"/>
          <w:rtl/>
        </w:rPr>
        <w:t xml:space="preserve">תחולתם של החריגים לחוק שמירת הסביבה החופית על נסיבות העניין, ובפרט </w:t>
      </w:r>
      <w:r>
        <w:rPr>
          <w:rFonts w:hint="cs"/>
          <w:rtl/>
        </w:rPr>
        <w:t xml:space="preserve">פרשנות הסכם החכירה בין המבקש לבין רמ"י. </w:t>
      </w:r>
    </w:p>
    <w:p w:rsidR="001D5344" w:rsidRDefault="001D5344" w:rsidP="001D5344">
      <w:pPr>
        <w:pStyle w:val="Ruller40"/>
        <w:rPr>
          <w:rtl/>
        </w:rPr>
      </w:pPr>
    </w:p>
    <w:p w:rsidR="00A5401D" w:rsidRDefault="002F071F" w:rsidP="00A5401D">
      <w:pPr>
        <w:pStyle w:val="Ruller40"/>
        <w:ind w:firstLine="720"/>
        <w:rPr>
          <w:rtl/>
        </w:rPr>
      </w:pPr>
      <w:r>
        <w:rPr>
          <w:rFonts w:hint="cs"/>
          <w:rtl/>
        </w:rPr>
        <w:t xml:space="preserve">לשיטת המבקש, </w:t>
      </w:r>
      <w:r w:rsidR="00E800D9" w:rsidRPr="00765FA7">
        <w:rPr>
          <w:rFonts w:hint="cs"/>
          <w:rtl/>
        </w:rPr>
        <w:t>הסכם החכירה ותוכניות הבניה החלות על המקרקעין</w:t>
      </w:r>
      <w:r w:rsidR="00116273">
        <w:rPr>
          <w:rFonts w:hint="cs"/>
          <w:rtl/>
        </w:rPr>
        <w:t xml:space="preserve"> מאפשרות את גידור כפר הנופש, ו</w:t>
      </w:r>
      <w:r w:rsidR="00A5401D">
        <w:rPr>
          <w:rFonts w:hint="cs"/>
          <w:rtl/>
        </w:rPr>
        <w:t xml:space="preserve">זאת בהתאם לחריגים המנויים בסעיפים 5(ב), 5(ג)(8)(ב) ו-20 לחוק שמירת הסביבה החופית. </w:t>
      </w:r>
    </w:p>
    <w:p w:rsidR="00E800D9" w:rsidRDefault="00E800D9" w:rsidP="001D5344">
      <w:pPr>
        <w:pStyle w:val="Ruller40"/>
        <w:rPr>
          <w:rtl/>
        </w:rPr>
      </w:pPr>
    </w:p>
    <w:p w:rsidR="00A5401D" w:rsidRDefault="001D5344" w:rsidP="00A5401D">
      <w:pPr>
        <w:pStyle w:val="Ruller40"/>
        <w:rPr>
          <w:rtl/>
        </w:rPr>
      </w:pPr>
      <w:r>
        <w:rPr>
          <w:rtl/>
        </w:rPr>
        <w:lastRenderedPageBreak/>
        <w:tab/>
      </w:r>
      <w:r>
        <w:rPr>
          <w:rFonts w:hint="cs"/>
          <w:rtl/>
        </w:rPr>
        <w:t xml:space="preserve">עוד נטען כי </w:t>
      </w:r>
      <w:r w:rsidR="00A5401D">
        <w:rPr>
          <w:rFonts w:hint="cs"/>
          <w:rtl/>
        </w:rPr>
        <w:t>פרשנותו של חוק שמירת הסביבה החופית, ובפרט היקף חריגיו טרם נידונו בפני בית משפט זה, ולנוכח הפגיעה בזכויותיו של המבקש, מן הראוי לדון בעניין במסגרת הבקשה דנן.</w:t>
      </w:r>
    </w:p>
    <w:p w:rsidR="001D5344" w:rsidRDefault="00A5401D" w:rsidP="00A5401D">
      <w:pPr>
        <w:pStyle w:val="Ruller40"/>
        <w:rPr>
          <w:rtl/>
        </w:rPr>
      </w:pPr>
      <w:r>
        <w:rPr>
          <w:rtl/>
        </w:rPr>
        <w:t xml:space="preserve"> </w:t>
      </w:r>
    </w:p>
    <w:p w:rsidR="001D5344" w:rsidRDefault="001D5344" w:rsidP="00605D3D">
      <w:pPr>
        <w:pStyle w:val="Ruller4"/>
        <w:rPr>
          <w:rtl/>
        </w:rPr>
      </w:pPr>
      <w:r>
        <w:rPr>
          <w:rFonts w:hint="cs"/>
          <w:rtl/>
        </w:rPr>
        <w:t xml:space="preserve">המשיבה טוענת מנגד כי דין בקשת רשות הערעור להידחות על הסף, </w:t>
      </w:r>
      <w:r w:rsidR="00605D3D">
        <w:rPr>
          <w:rFonts w:hint="cs"/>
          <w:rtl/>
        </w:rPr>
        <w:t>מאחר וזו</w:t>
      </w:r>
      <w:r>
        <w:rPr>
          <w:rFonts w:hint="cs"/>
          <w:rtl/>
        </w:rPr>
        <w:t xml:space="preserve"> לא מגלה כל עילה לקבלתה.</w:t>
      </w:r>
    </w:p>
    <w:p w:rsidR="001D5344" w:rsidRDefault="001D5344" w:rsidP="001D5344">
      <w:pPr>
        <w:pStyle w:val="Ruller40"/>
        <w:rPr>
          <w:rtl/>
        </w:rPr>
      </w:pPr>
    </w:p>
    <w:p w:rsidR="001D5344" w:rsidRDefault="001D5344" w:rsidP="001D5344">
      <w:pPr>
        <w:pStyle w:val="Ruller40"/>
        <w:rPr>
          <w:rtl/>
        </w:rPr>
      </w:pPr>
      <w:r>
        <w:rPr>
          <w:rtl/>
        </w:rPr>
        <w:tab/>
      </w:r>
      <w:r>
        <w:rPr>
          <w:rFonts w:hint="cs"/>
          <w:rtl/>
        </w:rPr>
        <w:t xml:space="preserve">לשיטת המשיבה, טענות המבקש בדבר פגיעת הצו בזכויותיו נדונו והוכרעו על ידי הערכאות הקודמות על יסוד נסיבותיו הקונקרטיות של המקרה, ואין בהן דבר אשר חורג מעניינו הפרטי. </w:t>
      </w:r>
    </w:p>
    <w:p w:rsidR="001D5344" w:rsidRDefault="001D5344" w:rsidP="001D5344">
      <w:pPr>
        <w:pStyle w:val="Ruller40"/>
        <w:rPr>
          <w:rtl/>
        </w:rPr>
      </w:pPr>
    </w:p>
    <w:p w:rsidR="001D5344" w:rsidRDefault="001D5344" w:rsidP="00DD34BF">
      <w:pPr>
        <w:pStyle w:val="Ruller40"/>
        <w:rPr>
          <w:rtl/>
        </w:rPr>
      </w:pPr>
      <w:r>
        <w:rPr>
          <w:rtl/>
        </w:rPr>
        <w:tab/>
      </w:r>
      <w:r>
        <w:rPr>
          <w:rFonts w:hint="cs"/>
          <w:rtl/>
        </w:rPr>
        <w:t xml:space="preserve">בכלל זה נטען כי העניין הוכרע על יסוד היעדרם של היתרי בניה לגדרות נשוא הבקשה; פרשנות </w:t>
      </w:r>
      <w:r w:rsidR="00F83C27">
        <w:rPr>
          <w:rFonts w:hint="cs"/>
          <w:rtl/>
        </w:rPr>
        <w:t>הסכם</w:t>
      </w:r>
      <w:r>
        <w:rPr>
          <w:rFonts w:hint="cs"/>
          <w:rtl/>
        </w:rPr>
        <w:t xml:space="preserve"> החכירה של המבקש עם רמ"י; </w:t>
      </w:r>
      <w:r w:rsidR="003A0705">
        <w:rPr>
          <w:rFonts w:hint="cs"/>
          <w:rtl/>
        </w:rPr>
        <w:t>וכן לנוכח</w:t>
      </w:r>
      <w:r>
        <w:rPr>
          <w:rFonts w:hint="cs"/>
          <w:rtl/>
        </w:rPr>
        <w:t xml:space="preserve"> פרשנותן של תוכניות הבניה החלות על שטח כפר הנופש. </w:t>
      </w:r>
    </w:p>
    <w:p w:rsidR="001D5344" w:rsidRDefault="001D5344" w:rsidP="001D5344">
      <w:pPr>
        <w:pStyle w:val="Ruller40"/>
        <w:rPr>
          <w:rtl/>
        </w:rPr>
      </w:pPr>
    </w:p>
    <w:p w:rsidR="001D5344" w:rsidRDefault="001D5344" w:rsidP="001D5344">
      <w:pPr>
        <w:pStyle w:val="Ruller4"/>
        <w:rPr>
          <w:rtl/>
        </w:rPr>
      </w:pPr>
      <w:r>
        <w:rPr>
          <w:rFonts w:hint="cs"/>
          <w:rtl/>
        </w:rPr>
        <w:t>דין הבקשה להידחות.</w:t>
      </w:r>
    </w:p>
    <w:p w:rsidR="001D5344" w:rsidRDefault="001D5344" w:rsidP="001D5344">
      <w:pPr>
        <w:pStyle w:val="Ruller40"/>
        <w:rPr>
          <w:rtl/>
        </w:rPr>
      </w:pPr>
    </w:p>
    <w:p w:rsidR="001D5344" w:rsidRDefault="001D5344" w:rsidP="00F41F9B">
      <w:pPr>
        <w:pStyle w:val="Ruller4"/>
        <w:rPr>
          <w:rtl/>
        </w:rPr>
      </w:pPr>
      <w:r>
        <w:rPr>
          <w:rFonts w:hint="cs"/>
          <w:rtl/>
        </w:rPr>
        <w:t xml:space="preserve">הלכה היא כי רשות ערעור ב"גלגול שלישי" תינתן במקרים חריגים במסגרתם מעלה הבקשה </w:t>
      </w:r>
      <w:r w:rsidR="00F41F9B">
        <w:rPr>
          <w:rFonts w:hint="cs"/>
          <w:rtl/>
        </w:rPr>
        <w:t>סוגיה</w:t>
      </w:r>
      <w:r>
        <w:rPr>
          <w:rFonts w:hint="cs"/>
          <w:rtl/>
        </w:rPr>
        <w:t xml:space="preserve"> עקרונית החורגת מעניינו הפרטי של המבקש, או במקרים בהם הבקשה מעוררת חשש לאי-צדק שייגרם למבקש או עיוות דין.</w:t>
      </w:r>
    </w:p>
    <w:p w:rsidR="001D5344" w:rsidRDefault="001D5344" w:rsidP="001D5344">
      <w:pPr>
        <w:pStyle w:val="Ruller40"/>
        <w:rPr>
          <w:rtl/>
        </w:rPr>
      </w:pPr>
    </w:p>
    <w:p w:rsidR="001D5344" w:rsidRDefault="001D5344" w:rsidP="001D5344">
      <w:pPr>
        <w:pStyle w:val="Ruller4"/>
        <w:rPr>
          <w:rtl/>
        </w:rPr>
      </w:pPr>
      <w:r>
        <w:rPr>
          <w:rFonts w:hint="cs"/>
          <w:rtl/>
        </w:rPr>
        <w:t>הבקשה שלפניי לא בא בגדרי אמות המידה האמורות, ודי בכך כדי לדחותהּ.</w:t>
      </w:r>
    </w:p>
    <w:p w:rsidR="001D5344" w:rsidRDefault="001D5344" w:rsidP="001D5344">
      <w:pPr>
        <w:pStyle w:val="Ruller40"/>
        <w:rPr>
          <w:rtl/>
        </w:rPr>
      </w:pPr>
    </w:p>
    <w:p w:rsidR="001D5344" w:rsidRDefault="001D5344" w:rsidP="00C60FD8">
      <w:pPr>
        <w:pStyle w:val="Ruller4"/>
        <w:rPr>
          <w:rtl/>
        </w:rPr>
      </w:pPr>
      <w:r>
        <w:rPr>
          <w:rFonts w:hint="cs"/>
          <w:rtl/>
        </w:rPr>
        <w:t xml:space="preserve">על אף האצטלה העקרונית שמנסה המבקש לשוות לה, הבקשה </w:t>
      </w:r>
      <w:r w:rsidR="00C60FD8">
        <w:rPr>
          <w:rFonts w:hint="cs"/>
          <w:rtl/>
        </w:rPr>
        <w:t>מצויה</w:t>
      </w:r>
      <w:r w:rsidR="009C1CDA">
        <w:rPr>
          <w:rFonts w:hint="cs"/>
          <w:rtl/>
        </w:rPr>
        <w:t xml:space="preserve"> </w:t>
      </w:r>
      <w:r>
        <w:rPr>
          <w:rFonts w:hint="cs"/>
          <w:rtl/>
        </w:rPr>
        <w:t>למעשה ב</w:t>
      </w:r>
      <w:r w:rsidR="00352587">
        <w:rPr>
          <w:rFonts w:hint="cs"/>
          <w:rtl/>
        </w:rPr>
        <w:t xml:space="preserve">דל"ת אמותיו של </w:t>
      </w:r>
      <w:r>
        <w:rPr>
          <w:rFonts w:hint="cs"/>
          <w:rtl/>
        </w:rPr>
        <w:t>עניינו הפרטי בלבד ונוגעת לפרשנותו של הסכם החכירה בין הצדדים</w:t>
      </w:r>
      <w:r w:rsidR="00116273">
        <w:rPr>
          <w:rFonts w:hint="cs"/>
          <w:rtl/>
        </w:rPr>
        <w:t>,</w:t>
      </w:r>
      <w:r>
        <w:rPr>
          <w:rFonts w:hint="cs"/>
          <w:rtl/>
        </w:rPr>
        <w:t xml:space="preserve"> ו</w:t>
      </w:r>
      <w:r w:rsidR="005C34F5">
        <w:rPr>
          <w:rFonts w:hint="cs"/>
          <w:rtl/>
        </w:rPr>
        <w:t>ל</w:t>
      </w:r>
      <w:r>
        <w:rPr>
          <w:rFonts w:hint="cs"/>
          <w:rtl/>
        </w:rPr>
        <w:t>שאלה העובדתית בדבר קיומם של היתרי בניה כדין.</w:t>
      </w:r>
    </w:p>
    <w:p w:rsidR="001D5344" w:rsidRDefault="001D5344" w:rsidP="001D5344">
      <w:pPr>
        <w:pStyle w:val="Ruller40"/>
        <w:rPr>
          <w:rtl/>
        </w:rPr>
      </w:pPr>
    </w:p>
    <w:p w:rsidR="001D5344" w:rsidRDefault="001D5344" w:rsidP="0029404E">
      <w:pPr>
        <w:pStyle w:val="Ruller4"/>
        <w:rPr>
          <w:rtl/>
        </w:rPr>
      </w:pPr>
      <w:r>
        <w:rPr>
          <w:rFonts w:hint="cs"/>
          <w:rtl/>
        </w:rPr>
        <w:t xml:space="preserve">זאת ועוד, העובדה כי טרם נדונו הוראותיו של חוק שמירת הסביבה החופית בפני בית משפט זה לא מצדיקה כשלעצמה דיון ב"גלגול שלישי" (רע"פ 7372/12 </w:t>
      </w:r>
      <w:r>
        <w:rPr>
          <w:rFonts w:ascii="Century" w:hAnsi="Century" w:cs="Miriam" w:hint="cs"/>
          <w:b/>
          <w:spacing w:val="0"/>
          <w:sz w:val="22"/>
          <w:szCs w:val="24"/>
          <w:rtl/>
        </w:rPr>
        <w:lastRenderedPageBreak/>
        <w:t xml:space="preserve">מלכה נ' מדינת ישראל </w:t>
      </w:r>
      <w:r>
        <w:rPr>
          <w:rFonts w:ascii="Century" w:hAnsi="Century" w:hint="cs"/>
          <w:sz w:val="22"/>
          <w:rtl/>
        </w:rPr>
        <w:t>פסקה 9 (25.11.2012))</w:t>
      </w:r>
      <w:r>
        <w:rPr>
          <w:rFonts w:hint="cs"/>
          <w:rtl/>
        </w:rPr>
        <w:t xml:space="preserve">, ואני סבור כי בנסיבות העניין לא עולה כל </w:t>
      </w:r>
      <w:r w:rsidR="0029404E">
        <w:rPr>
          <w:rFonts w:hint="cs"/>
          <w:rtl/>
        </w:rPr>
        <w:t xml:space="preserve">קושיה </w:t>
      </w:r>
      <w:r>
        <w:rPr>
          <w:rFonts w:hint="cs"/>
          <w:rtl/>
        </w:rPr>
        <w:t>פרשנית מפסיקתן של הערכאות הקודמות הראויה להתברר במסגרת דיונית זו.</w:t>
      </w:r>
    </w:p>
    <w:p w:rsidR="001D5344" w:rsidRDefault="001D5344" w:rsidP="001D5344">
      <w:pPr>
        <w:pStyle w:val="Ruller40"/>
        <w:rPr>
          <w:rtl/>
        </w:rPr>
      </w:pPr>
    </w:p>
    <w:p w:rsidR="001D5344" w:rsidRPr="00483C1A" w:rsidRDefault="001D5344" w:rsidP="001D5344">
      <w:pPr>
        <w:pStyle w:val="Ruller4"/>
        <w:rPr>
          <w:rtl/>
        </w:rPr>
      </w:pPr>
      <w:r>
        <w:rPr>
          <w:rFonts w:hint="cs"/>
          <w:rtl/>
        </w:rPr>
        <w:t xml:space="preserve">לבסוף אציין כי השאיפה לשמירת הסביבה החופית, כפי שזו מוגשמת באמצעות החוק לשמירת הסביבה החופית, מגלמת בחובה את הרצון לשמור על אוצרות </w:t>
      </w:r>
      <w:r w:rsidR="00C06309">
        <w:rPr>
          <w:rFonts w:hint="cs"/>
          <w:rtl/>
        </w:rPr>
        <w:t xml:space="preserve">ומשאבי </w:t>
      </w:r>
      <w:r>
        <w:rPr>
          <w:rFonts w:hint="cs"/>
          <w:rtl/>
        </w:rPr>
        <w:t>הטבע ברחבי הארץ</w:t>
      </w:r>
      <w:r w:rsidR="00EB4374">
        <w:rPr>
          <w:rFonts w:hint="cs"/>
          <w:rtl/>
        </w:rPr>
        <w:t>,</w:t>
      </w:r>
      <w:r>
        <w:rPr>
          <w:rFonts w:hint="cs"/>
          <w:rtl/>
        </w:rPr>
        <w:t xml:space="preserve"> למען יושבי הארץ ו</w:t>
      </w:r>
      <w:r w:rsidR="00811087">
        <w:rPr>
          <w:rFonts w:hint="cs"/>
          <w:rtl/>
        </w:rPr>
        <w:t xml:space="preserve">למען </w:t>
      </w:r>
      <w:r>
        <w:rPr>
          <w:rFonts w:hint="cs"/>
          <w:rtl/>
        </w:rPr>
        <w:t xml:space="preserve">הדורות הבאים, ואכיפה קפדנית של הוראות החוק </w:t>
      </w:r>
      <w:r>
        <w:rPr>
          <w:rtl/>
        </w:rPr>
        <w:t>–</w:t>
      </w:r>
      <w:r>
        <w:rPr>
          <w:rFonts w:hint="cs"/>
          <w:rtl/>
        </w:rPr>
        <w:t xml:space="preserve"> בין היתר על הפרות אשר מועד תחילתן קדם למועד החקיקה </w:t>
      </w:r>
      <w:r>
        <w:rPr>
          <w:rtl/>
        </w:rPr>
        <w:t>–</w:t>
      </w:r>
      <w:r>
        <w:rPr>
          <w:rFonts w:hint="cs"/>
          <w:rtl/>
        </w:rPr>
        <w:t xml:space="preserve"> היא ראויה ורצויה, ויש לברך על מאמצי רשויות האכיפה בהקשר זה.</w:t>
      </w:r>
    </w:p>
    <w:p w:rsidR="001D5344" w:rsidRDefault="001D5344" w:rsidP="001D5344">
      <w:pPr>
        <w:pStyle w:val="Ruller40"/>
        <w:rPr>
          <w:rtl/>
        </w:rPr>
      </w:pPr>
      <w:bookmarkStart w:id="5" w:name="_GoBack"/>
      <w:bookmarkEnd w:id="5"/>
    </w:p>
    <w:p w:rsidR="001D5344" w:rsidRDefault="001D5344" w:rsidP="001D5344">
      <w:pPr>
        <w:pStyle w:val="Ruller4"/>
        <w:rPr>
          <w:rtl/>
        </w:rPr>
      </w:pPr>
      <w:r>
        <w:rPr>
          <w:rFonts w:hint="cs"/>
          <w:rtl/>
        </w:rPr>
        <w:t>סוף דבר, הבקשה נדחית. הצו להסרת הפגיעה בסביבה החופית מיום 12.4.2015 יהא בר-ביצוע החל מיום 1.6.2019. ביצוע הצו בכל הנוגע לגדר הדרומית, לנוכח נושא הבטיחות</w:t>
      </w:r>
      <w:r w:rsidR="005C34F5">
        <w:rPr>
          <w:rFonts w:hint="cs"/>
          <w:rtl/>
        </w:rPr>
        <w:t xml:space="preserve"> וכאמור בפסק דינו של בית המשפט המחוזי</w:t>
      </w:r>
      <w:r>
        <w:rPr>
          <w:rFonts w:hint="cs"/>
          <w:rtl/>
        </w:rPr>
        <w:t>, יבוצע תוך 6 חודשים מהיום.</w:t>
      </w:r>
    </w:p>
    <w:p w:rsidR="001D5344" w:rsidRPr="00D62E54" w:rsidRDefault="001D5344" w:rsidP="001D5344">
      <w:pPr>
        <w:pStyle w:val="Ruller40"/>
      </w:pPr>
    </w:p>
    <w:p w:rsidR="00016EF1" w:rsidRDefault="005C34F5" w:rsidP="00A51FAE">
      <w:pPr>
        <w:pStyle w:val="Ruller40"/>
        <w:rPr>
          <w:rtl/>
        </w:rPr>
      </w:pPr>
      <w:r>
        <w:rPr>
          <w:rtl/>
        </w:rPr>
        <w:tab/>
        <w:t xml:space="preserve">ניתנה היום, </w:t>
      </w:r>
      <w:r>
        <w:rPr>
          <w:rFonts w:hint="eastAsia"/>
          <w:rtl/>
        </w:rPr>
        <w:t>‏י</w:t>
      </w:r>
      <w:r>
        <w:rPr>
          <w:rtl/>
        </w:rPr>
        <w:t>"ד באייר התשע"ט (</w:t>
      </w:r>
      <w:r>
        <w:rPr>
          <w:rFonts w:hint="eastAsia"/>
          <w:rtl/>
        </w:rPr>
        <w:t>‏</w:t>
      </w:r>
      <w:r>
        <w:rPr>
          <w:rtl/>
        </w:rPr>
        <w:t>19.5.2019).</w:t>
      </w:r>
    </w:p>
    <w:p w:rsidR="005C34F5" w:rsidRDefault="005C34F5" w:rsidP="00A51FAE">
      <w:pPr>
        <w:pStyle w:val="Ruller40"/>
        <w:rPr>
          <w:rtl/>
        </w:rPr>
      </w:pPr>
    </w:p>
    <w:tbl>
      <w:tblPr>
        <w:bidiVisual/>
        <w:tblW w:w="8363" w:type="dxa"/>
        <w:tblLook w:val="01E0" w:firstRow="1" w:lastRow="1" w:firstColumn="1" w:lastColumn="1" w:noHBand="0" w:noVBand="0"/>
      </w:tblPr>
      <w:tblGrid>
        <w:gridCol w:w="2786"/>
        <w:gridCol w:w="2787"/>
        <w:gridCol w:w="2790"/>
      </w:tblGrid>
      <w:tr w:rsidR="001A0164" w:rsidTr="00D00B1D">
        <w:tc>
          <w:tcPr>
            <w:tcW w:w="2842" w:type="dxa"/>
            <w:shd w:val="clear" w:color="auto" w:fill="auto"/>
          </w:tcPr>
          <w:p w:rsidR="00016EF1" w:rsidRDefault="00016EF1" w:rsidP="00A51FAE">
            <w:pPr>
              <w:pStyle w:val="Ruller40"/>
              <w:rPr>
                <w:rtl/>
              </w:rPr>
            </w:pPr>
          </w:p>
        </w:tc>
        <w:tc>
          <w:tcPr>
            <w:tcW w:w="2843" w:type="dxa"/>
            <w:shd w:val="clear" w:color="auto" w:fill="auto"/>
          </w:tcPr>
          <w:p w:rsidR="001A0164" w:rsidRDefault="001A0164" w:rsidP="00BA0B08">
            <w:pPr>
              <w:pStyle w:val="Ruller40"/>
              <w:jc w:val="center"/>
              <w:rPr>
                <w:rtl/>
              </w:rPr>
            </w:pPr>
          </w:p>
        </w:tc>
        <w:tc>
          <w:tcPr>
            <w:tcW w:w="2843" w:type="dxa"/>
            <w:shd w:val="clear" w:color="auto" w:fill="auto"/>
          </w:tcPr>
          <w:p w:rsidR="001A0164" w:rsidRDefault="004F6994" w:rsidP="0029557A">
            <w:pPr>
              <w:pStyle w:val="Ruller40"/>
              <w:jc w:val="right"/>
              <w:rPr>
                <w:rtl/>
              </w:rPr>
            </w:pPr>
            <w:r>
              <w:rPr>
                <w:rtl/>
              </w:rPr>
              <w:t>ש ו פ ט</w:t>
            </w:r>
          </w:p>
        </w:tc>
      </w:tr>
    </w:tbl>
    <w:p w:rsidR="00044953" w:rsidRDefault="00044953" w:rsidP="00A51FAE">
      <w:pPr>
        <w:pStyle w:val="Ruller40"/>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29557A">
      <w:pPr>
        <w:pStyle w:val="Ruller38"/>
        <w:rPr>
          <w:rtl/>
        </w:rPr>
      </w:pPr>
      <w:r>
        <w:rPr>
          <w:sz w:val="16"/>
        </w:rPr>
        <w:t xml:space="preserve"> </w:t>
      </w:r>
      <w:r w:rsidR="00A12E0F">
        <w:rPr>
          <w:sz w:val="16"/>
        </w:rPr>
        <w:t xml:space="preserve">  </w:t>
      </w:r>
      <w:r w:rsidR="004F6994">
        <w:rPr>
          <w:sz w:val="16"/>
        </w:rPr>
        <w:t xml:space="preserve">19008140_J04.docx   </w:t>
      </w:r>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Pr>
          <w:rFonts w:hint="cs"/>
          <w:rtl/>
        </w:rPr>
        <w:t xml:space="preserve"> ; אתר אינטרנט,  </w:t>
      </w:r>
      <w:hyperlink r:id="rId12"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591983">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altName w:val="Times New Roman"/>
    <w:charset w:val="B1"/>
    <w:family w:val="swiss"/>
    <w:pitch w:val="variable"/>
    <w:sig w:usb0="00000801" w:usb1="00000000" w:usb2="00000000" w:usb3="00000000" w:csb0="00000020" w:csb1="00000000"/>
  </w:font>
  <w:font w:name="Arial TUR">
    <w:altName w:val="Arial"/>
    <w:charset w:val="00"/>
    <w:family w:val="swiss"/>
    <w:pitch w:val="variable"/>
    <w:sig w:usb0="E0002AFF"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altName w:val="Malgun Gothic Semilight"/>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94" w:rsidRDefault="004F699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5D21A0">
      <w:rPr>
        <w:rStyle w:val="a4"/>
        <w:noProof/>
        <w:rtl/>
      </w:rPr>
      <w:t>6</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2597F"/>
    <w:rsid w:val="00032036"/>
    <w:rsid w:val="00036227"/>
    <w:rsid w:val="00044953"/>
    <w:rsid w:val="00045B4D"/>
    <w:rsid w:val="000573CD"/>
    <w:rsid w:val="000725F5"/>
    <w:rsid w:val="00072AD2"/>
    <w:rsid w:val="00072D1A"/>
    <w:rsid w:val="00096D88"/>
    <w:rsid w:val="000B1478"/>
    <w:rsid w:val="000B32F4"/>
    <w:rsid w:val="000C4690"/>
    <w:rsid w:val="000D25C4"/>
    <w:rsid w:val="00116273"/>
    <w:rsid w:val="00134A67"/>
    <w:rsid w:val="001A0164"/>
    <w:rsid w:val="001B1937"/>
    <w:rsid w:val="001C24A4"/>
    <w:rsid w:val="001D5344"/>
    <w:rsid w:val="00200D6B"/>
    <w:rsid w:val="00265F6E"/>
    <w:rsid w:val="002665FC"/>
    <w:rsid w:val="002876BF"/>
    <w:rsid w:val="0029404E"/>
    <w:rsid w:val="0029557A"/>
    <w:rsid w:val="002A4A7A"/>
    <w:rsid w:val="002A4BF3"/>
    <w:rsid w:val="002C6CA6"/>
    <w:rsid w:val="002D6293"/>
    <w:rsid w:val="002F071F"/>
    <w:rsid w:val="002F7BB6"/>
    <w:rsid w:val="00301045"/>
    <w:rsid w:val="003448B2"/>
    <w:rsid w:val="00350A36"/>
    <w:rsid w:val="00352587"/>
    <w:rsid w:val="00361DB2"/>
    <w:rsid w:val="0037622E"/>
    <w:rsid w:val="00377102"/>
    <w:rsid w:val="003879A7"/>
    <w:rsid w:val="0039709B"/>
    <w:rsid w:val="003A0705"/>
    <w:rsid w:val="003D72DA"/>
    <w:rsid w:val="003F1F97"/>
    <w:rsid w:val="003F5C6F"/>
    <w:rsid w:val="003F760C"/>
    <w:rsid w:val="0041048F"/>
    <w:rsid w:val="00424EB6"/>
    <w:rsid w:val="00437D59"/>
    <w:rsid w:val="004610A4"/>
    <w:rsid w:val="00464F46"/>
    <w:rsid w:val="0047525F"/>
    <w:rsid w:val="004B29FD"/>
    <w:rsid w:val="004B29FF"/>
    <w:rsid w:val="004C7868"/>
    <w:rsid w:val="004F2BFF"/>
    <w:rsid w:val="004F6994"/>
    <w:rsid w:val="00503A3E"/>
    <w:rsid w:val="00525AC1"/>
    <w:rsid w:val="00527F02"/>
    <w:rsid w:val="00561CCE"/>
    <w:rsid w:val="005803E2"/>
    <w:rsid w:val="0058440A"/>
    <w:rsid w:val="00591983"/>
    <w:rsid w:val="005C34F5"/>
    <w:rsid w:val="005D21A0"/>
    <w:rsid w:val="00605D3D"/>
    <w:rsid w:val="006147EC"/>
    <w:rsid w:val="00624A42"/>
    <w:rsid w:val="0063128A"/>
    <w:rsid w:val="0065522F"/>
    <w:rsid w:val="0069478C"/>
    <w:rsid w:val="006A1E16"/>
    <w:rsid w:val="006A30F7"/>
    <w:rsid w:val="006C42AD"/>
    <w:rsid w:val="0072007F"/>
    <w:rsid w:val="00725345"/>
    <w:rsid w:val="00741CC0"/>
    <w:rsid w:val="0076173F"/>
    <w:rsid w:val="00771B03"/>
    <w:rsid w:val="00795941"/>
    <w:rsid w:val="00797993"/>
    <w:rsid w:val="007A642B"/>
    <w:rsid w:val="007B35B6"/>
    <w:rsid w:val="007B512F"/>
    <w:rsid w:val="007E579C"/>
    <w:rsid w:val="007F7512"/>
    <w:rsid w:val="00810894"/>
    <w:rsid w:val="00811087"/>
    <w:rsid w:val="008143AB"/>
    <w:rsid w:val="0081731D"/>
    <w:rsid w:val="0083345F"/>
    <w:rsid w:val="008361E2"/>
    <w:rsid w:val="00836667"/>
    <w:rsid w:val="00851CE6"/>
    <w:rsid w:val="008C2F11"/>
    <w:rsid w:val="008D78B9"/>
    <w:rsid w:val="008E3F85"/>
    <w:rsid w:val="009051E8"/>
    <w:rsid w:val="00912C05"/>
    <w:rsid w:val="00914156"/>
    <w:rsid w:val="00915632"/>
    <w:rsid w:val="00916FF8"/>
    <w:rsid w:val="00922093"/>
    <w:rsid w:val="00930C85"/>
    <w:rsid w:val="00961E14"/>
    <w:rsid w:val="009B38DA"/>
    <w:rsid w:val="009C1CDA"/>
    <w:rsid w:val="009F2F53"/>
    <w:rsid w:val="009F4187"/>
    <w:rsid w:val="00A12E0F"/>
    <w:rsid w:val="00A30CC2"/>
    <w:rsid w:val="00A4373C"/>
    <w:rsid w:val="00A51FAE"/>
    <w:rsid w:val="00A5401D"/>
    <w:rsid w:val="00A80845"/>
    <w:rsid w:val="00A84E38"/>
    <w:rsid w:val="00A95FFF"/>
    <w:rsid w:val="00AB69F7"/>
    <w:rsid w:val="00AD097B"/>
    <w:rsid w:val="00AD64B9"/>
    <w:rsid w:val="00AE022B"/>
    <w:rsid w:val="00B009CC"/>
    <w:rsid w:val="00B0782A"/>
    <w:rsid w:val="00B62B8C"/>
    <w:rsid w:val="00B63343"/>
    <w:rsid w:val="00B87FF7"/>
    <w:rsid w:val="00BA0B08"/>
    <w:rsid w:val="00BC0E82"/>
    <w:rsid w:val="00BD40F9"/>
    <w:rsid w:val="00C06309"/>
    <w:rsid w:val="00C416BA"/>
    <w:rsid w:val="00C41C86"/>
    <w:rsid w:val="00C60FD8"/>
    <w:rsid w:val="00C63A6C"/>
    <w:rsid w:val="00C64BA9"/>
    <w:rsid w:val="00CA13AF"/>
    <w:rsid w:val="00CA1444"/>
    <w:rsid w:val="00CB1590"/>
    <w:rsid w:val="00CB7600"/>
    <w:rsid w:val="00CC0E9D"/>
    <w:rsid w:val="00CC3639"/>
    <w:rsid w:val="00D00B1D"/>
    <w:rsid w:val="00D00CB7"/>
    <w:rsid w:val="00D25F16"/>
    <w:rsid w:val="00D30B84"/>
    <w:rsid w:val="00D921A6"/>
    <w:rsid w:val="00DD34BF"/>
    <w:rsid w:val="00DD3B6C"/>
    <w:rsid w:val="00DD4D2D"/>
    <w:rsid w:val="00E21CA9"/>
    <w:rsid w:val="00E31063"/>
    <w:rsid w:val="00E36FE9"/>
    <w:rsid w:val="00E73E98"/>
    <w:rsid w:val="00E75223"/>
    <w:rsid w:val="00E800D9"/>
    <w:rsid w:val="00E90D72"/>
    <w:rsid w:val="00EA0BE1"/>
    <w:rsid w:val="00EB4374"/>
    <w:rsid w:val="00EC23AC"/>
    <w:rsid w:val="00EC2992"/>
    <w:rsid w:val="00ED46A4"/>
    <w:rsid w:val="00ED6FD9"/>
    <w:rsid w:val="00EE3810"/>
    <w:rsid w:val="00EE3EA1"/>
    <w:rsid w:val="00EE6C2F"/>
    <w:rsid w:val="00F41F9B"/>
    <w:rsid w:val="00F57500"/>
    <w:rsid w:val="00F62446"/>
    <w:rsid w:val="00F63C3B"/>
    <w:rsid w:val="00F83C27"/>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07672-1CC9-41C0-AE77-F57E66A1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0"/>
    <w:next w:val="Ruller40"/>
    <w:rsid w:val="001D5344"/>
    <w:pPr>
      <w:numPr>
        <w:numId w:val="11"/>
      </w:numPr>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nevo.co.il/law/73817/5.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reme.court.gov.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nevo.co.il/law/73817/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vo.co.il/law/73817/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vo.co.il/law/73817/5.c.8.b"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6107</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7320</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Damti Sagi</dc:creator>
  <cp:keywords/>
  <dc:description/>
  <cp:lastModifiedBy>Adi Damti Sagi</cp:lastModifiedBy>
  <cp:revision>2</cp:revision>
  <cp:lastPrinted>2019-05-19T12:34:00Z</cp:lastPrinted>
  <dcterms:created xsi:type="dcterms:W3CDTF">2019-05-19T16:19:00Z</dcterms:created>
  <dcterms:modified xsi:type="dcterms:W3CDTF">2019-05-19T16:19:00Z</dcterms:modified>
</cp:coreProperties>
</file>